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olors1.xml" ContentType="application/vnd.ms-office.chartcolorstyle+xml"/>
  <Override PartName="/word/charts/style1.xml" ContentType="application/vnd.ms-office.chart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4176" w:type="dxa"/>
        <w:tblInd w:w="-318" w:type="dxa"/>
        <w:tblLook w:val="04A0" w:firstRow="1" w:lastRow="0" w:firstColumn="1" w:lastColumn="0" w:noHBand="0" w:noVBand="1"/>
      </w:tblPr>
      <w:tblGrid>
        <w:gridCol w:w="1128"/>
        <w:gridCol w:w="641"/>
        <w:gridCol w:w="1067"/>
        <w:gridCol w:w="709"/>
        <w:gridCol w:w="567"/>
        <w:gridCol w:w="1559"/>
        <w:gridCol w:w="709"/>
        <w:gridCol w:w="992"/>
        <w:gridCol w:w="851"/>
        <w:gridCol w:w="992"/>
        <w:gridCol w:w="1276"/>
        <w:gridCol w:w="992"/>
        <w:gridCol w:w="850"/>
        <w:gridCol w:w="567"/>
        <w:gridCol w:w="567"/>
        <w:gridCol w:w="709"/>
      </w:tblGrid>
      <w:tr w:rsidR="001B4E8E" w:rsidRPr="00E50310" w:rsidTr="001B4E8E">
        <w:trPr>
          <w:cantSplit/>
          <w:trHeight w:val="2262"/>
        </w:trPr>
        <w:tc>
          <w:tcPr>
            <w:tcW w:w="1128" w:type="dxa"/>
            <w:shd w:val="clear" w:color="auto" w:fill="BFBFBF" w:themeFill="background1" w:themeFillShade="BF"/>
            <w:noWrap/>
            <w:textDirection w:val="tbRl"/>
            <w:hideMark/>
          </w:tcPr>
          <w:p w:rsidR="001B4E8E" w:rsidRPr="00E50310" w:rsidRDefault="001B4E8E" w:rsidP="00E50310">
            <w:pPr>
              <w:ind w:left="113" w:right="113"/>
              <w:rPr>
                <w:b/>
              </w:rPr>
            </w:pPr>
            <w:bookmarkStart w:id="0" w:name="_GoBack"/>
            <w:bookmarkEnd w:id="0"/>
            <w:r w:rsidRPr="00E50310">
              <w:rPr>
                <w:b/>
              </w:rPr>
              <w:t>Servicio</w:t>
            </w:r>
          </w:p>
        </w:tc>
        <w:tc>
          <w:tcPr>
            <w:tcW w:w="641" w:type="dxa"/>
            <w:shd w:val="clear" w:color="auto" w:fill="BFBFBF" w:themeFill="background1" w:themeFillShade="BF"/>
            <w:noWrap/>
            <w:textDirection w:val="tbRl"/>
            <w:hideMark/>
          </w:tcPr>
          <w:p w:rsidR="001B4E8E" w:rsidRPr="00E50310" w:rsidRDefault="001B4E8E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Mantenimiento </w:t>
            </w:r>
            <w:r w:rsidRPr="00E50310">
              <w:rPr>
                <w:b/>
              </w:rPr>
              <w:t xml:space="preserve">Red de voz </w:t>
            </w:r>
          </w:p>
        </w:tc>
        <w:tc>
          <w:tcPr>
            <w:tcW w:w="1067" w:type="dxa"/>
            <w:shd w:val="clear" w:color="auto" w:fill="BFBFBF" w:themeFill="background1" w:themeFillShade="BF"/>
            <w:noWrap/>
            <w:textDirection w:val="tbRl"/>
            <w:hideMark/>
          </w:tcPr>
          <w:p w:rsidR="001B4E8E" w:rsidRPr="00E50310" w:rsidRDefault="001B4E8E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Mantenimiento </w:t>
            </w:r>
            <w:r w:rsidRPr="00E50310">
              <w:rPr>
                <w:b/>
              </w:rPr>
              <w:t>Red de datos</w:t>
            </w:r>
            <w:r>
              <w:rPr>
                <w:b/>
              </w:rPr>
              <w:t xml:space="preserve"> y mejoras de la red</w:t>
            </w:r>
          </w:p>
        </w:tc>
        <w:tc>
          <w:tcPr>
            <w:tcW w:w="709" w:type="dxa"/>
            <w:shd w:val="clear" w:color="auto" w:fill="BFBFBF" w:themeFill="background1" w:themeFillShade="BF"/>
            <w:noWrap/>
            <w:textDirection w:val="tbRl"/>
            <w:hideMark/>
          </w:tcPr>
          <w:p w:rsidR="001B4E8E" w:rsidRPr="00E50310" w:rsidRDefault="001B4E8E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Red de impresión</w:t>
            </w:r>
          </w:p>
        </w:tc>
        <w:tc>
          <w:tcPr>
            <w:tcW w:w="567" w:type="dxa"/>
            <w:shd w:val="clear" w:color="auto" w:fill="BFBFBF" w:themeFill="background1" w:themeFillShade="BF"/>
            <w:noWrap/>
            <w:textDirection w:val="tbRl"/>
            <w:hideMark/>
          </w:tcPr>
          <w:p w:rsidR="001B4E8E" w:rsidRPr="00E50310" w:rsidRDefault="001B4E8E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Asesorías</w:t>
            </w:r>
          </w:p>
        </w:tc>
        <w:tc>
          <w:tcPr>
            <w:tcW w:w="1559" w:type="dxa"/>
            <w:shd w:val="clear" w:color="auto" w:fill="BFBFBF" w:themeFill="background1" w:themeFillShade="BF"/>
            <w:noWrap/>
            <w:textDirection w:val="tbRl"/>
            <w:hideMark/>
          </w:tcPr>
          <w:p w:rsidR="001B4E8E" w:rsidRDefault="001B4E8E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Fallas y soluciones en sistema operativo y software.</w:t>
            </w:r>
            <w:r>
              <w:rPr>
                <w:b/>
              </w:rPr>
              <w:t xml:space="preserve">   Instalación de equipo y programas</w:t>
            </w:r>
          </w:p>
          <w:p w:rsidR="001B4E8E" w:rsidRPr="00E50310" w:rsidRDefault="001B4E8E" w:rsidP="00E50310">
            <w:pPr>
              <w:ind w:left="113" w:right="113"/>
              <w:rPr>
                <w:b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noWrap/>
            <w:textDirection w:val="tbRl"/>
            <w:hideMark/>
          </w:tcPr>
          <w:p w:rsidR="001B4E8E" w:rsidRPr="00E50310" w:rsidRDefault="001B4E8E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Gestión de material</w:t>
            </w:r>
          </w:p>
        </w:tc>
        <w:tc>
          <w:tcPr>
            <w:tcW w:w="992" w:type="dxa"/>
            <w:shd w:val="clear" w:color="auto" w:fill="BFBFBF" w:themeFill="background1" w:themeFillShade="BF"/>
            <w:noWrap/>
            <w:textDirection w:val="tbRl"/>
            <w:hideMark/>
          </w:tcPr>
          <w:p w:rsidR="001B4E8E" w:rsidRPr="00E50310" w:rsidRDefault="001B4E8E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Entrega de consumibles</w:t>
            </w:r>
          </w:p>
        </w:tc>
        <w:tc>
          <w:tcPr>
            <w:tcW w:w="851" w:type="dxa"/>
            <w:shd w:val="clear" w:color="auto" w:fill="BFBFBF" w:themeFill="background1" w:themeFillShade="BF"/>
            <w:noWrap/>
            <w:textDirection w:val="tbRl"/>
            <w:hideMark/>
          </w:tcPr>
          <w:p w:rsidR="001B4E8E" w:rsidRPr="00E50310" w:rsidRDefault="001B4E8E" w:rsidP="00E50310">
            <w:pPr>
              <w:ind w:left="113" w:right="113"/>
              <w:rPr>
                <w:b/>
              </w:rPr>
            </w:pPr>
            <w:proofErr w:type="spellStart"/>
            <w:r>
              <w:rPr>
                <w:b/>
              </w:rPr>
              <w:t>Dictaminacion</w:t>
            </w:r>
            <w:proofErr w:type="spellEnd"/>
            <w:r w:rsidRPr="00E50310">
              <w:rPr>
                <w:b/>
              </w:rPr>
              <w:t xml:space="preserve"> de equipo de computo</w:t>
            </w:r>
          </w:p>
        </w:tc>
        <w:tc>
          <w:tcPr>
            <w:tcW w:w="992" w:type="dxa"/>
            <w:shd w:val="clear" w:color="auto" w:fill="BFBFBF" w:themeFill="background1" w:themeFillShade="BF"/>
            <w:textDirection w:val="tbRl"/>
          </w:tcPr>
          <w:p w:rsidR="001B4E8E" w:rsidRPr="00E50310" w:rsidRDefault="001B4E8E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>Mejoras en servicios de correos, telefónicos e ISP.</w:t>
            </w:r>
          </w:p>
        </w:tc>
        <w:tc>
          <w:tcPr>
            <w:tcW w:w="1276" w:type="dxa"/>
            <w:shd w:val="clear" w:color="auto" w:fill="BFBFBF" w:themeFill="background1" w:themeFillShade="BF"/>
            <w:noWrap/>
            <w:textDirection w:val="tbRl"/>
            <w:hideMark/>
          </w:tcPr>
          <w:p w:rsidR="001B4E8E" w:rsidRPr="00E50310" w:rsidRDefault="001B4E8E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Reparación de hardware de impresión y computo</w:t>
            </w:r>
          </w:p>
        </w:tc>
        <w:tc>
          <w:tcPr>
            <w:tcW w:w="992" w:type="dxa"/>
            <w:shd w:val="clear" w:color="auto" w:fill="BFBFBF" w:themeFill="background1" w:themeFillShade="BF"/>
            <w:noWrap/>
            <w:textDirection w:val="tbRl"/>
            <w:hideMark/>
          </w:tcPr>
          <w:p w:rsidR="001B4E8E" w:rsidRPr="00E50310" w:rsidRDefault="001B4E8E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Restricciones y seguridad</w:t>
            </w:r>
          </w:p>
        </w:tc>
        <w:tc>
          <w:tcPr>
            <w:tcW w:w="850" w:type="dxa"/>
            <w:shd w:val="clear" w:color="auto" w:fill="BFBFBF" w:themeFill="background1" w:themeFillShade="BF"/>
            <w:noWrap/>
            <w:textDirection w:val="tbRl"/>
            <w:hideMark/>
          </w:tcPr>
          <w:p w:rsidR="001B4E8E" w:rsidRPr="00E50310" w:rsidRDefault="001B4E8E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Realización de oficios</w:t>
            </w:r>
          </w:p>
        </w:tc>
        <w:tc>
          <w:tcPr>
            <w:tcW w:w="567" w:type="dxa"/>
            <w:shd w:val="clear" w:color="auto" w:fill="BFBFBF" w:themeFill="background1" w:themeFillShade="BF"/>
            <w:textDirection w:val="tbRl"/>
          </w:tcPr>
          <w:p w:rsidR="001B4E8E" w:rsidRPr="00E50310" w:rsidRDefault="001B4E8E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>Respaldos</w:t>
            </w:r>
          </w:p>
        </w:tc>
        <w:tc>
          <w:tcPr>
            <w:tcW w:w="567" w:type="dxa"/>
            <w:shd w:val="clear" w:color="auto" w:fill="BFBFBF" w:themeFill="background1" w:themeFillShade="BF"/>
            <w:noWrap/>
            <w:textDirection w:val="tbRl"/>
            <w:hideMark/>
          </w:tcPr>
          <w:p w:rsidR="001B4E8E" w:rsidRPr="00E50310" w:rsidRDefault="001B4E8E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otros</w:t>
            </w:r>
          </w:p>
        </w:tc>
        <w:tc>
          <w:tcPr>
            <w:tcW w:w="709" w:type="dxa"/>
            <w:shd w:val="clear" w:color="auto" w:fill="BFBFBF" w:themeFill="background1" w:themeFillShade="BF"/>
            <w:textDirection w:val="tbRl"/>
          </w:tcPr>
          <w:p w:rsidR="001B4E8E" w:rsidRPr="00E50310" w:rsidRDefault="001B4E8E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>En relación a Pagina web</w:t>
            </w:r>
          </w:p>
        </w:tc>
      </w:tr>
      <w:tr w:rsidR="001B4E8E" w:rsidRPr="00E50310" w:rsidTr="001B4E8E">
        <w:trPr>
          <w:cantSplit/>
          <w:trHeight w:val="1529"/>
        </w:trPr>
        <w:tc>
          <w:tcPr>
            <w:tcW w:w="1128" w:type="dxa"/>
            <w:shd w:val="clear" w:color="auto" w:fill="BFBFBF" w:themeFill="background1" w:themeFillShade="BF"/>
            <w:noWrap/>
            <w:textDirection w:val="tbRl"/>
            <w:hideMark/>
          </w:tcPr>
          <w:p w:rsidR="001B4E8E" w:rsidRPr="00E50310" w:rsidRDefault="001B4E8E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Numero</w:t>
            </w:r>
          </w:p>
        </w:tc>
        <w:tc>
          <w:tcPr>
            <w:tcW w:w="641" w:type="dxa"/>
            <w:noWrap/>
            <w:textDirection w:val="tbRl"/>
          </w:tcPr>
          <w:p w:rsidR="001B4E8E" w:rsidRPr="00E50310" w:rsidRDefault="001B4E8E" w:rsidP="00E50310">
            <w:pPr>
              <w:ind w:left="113" w:right="113"/>
            </w:pPr>
            <w:r>
              <w:t>4</w:t>
            </w:r>
          </w:p>
        </w:tc>
        <w:tc>
          <w:tcPr>
            <w:tcW w:w="1067" w:type="dxa"/>
            <w:noWrap/>
            <w:textDirection w:val="tbRl"/>
          </w:tcPr>
          <w:p w:rsidR="001B4E8E" w:rsidRPr="00E50310" w:rsidRDefault="001B4E8E" w:rsidP="00E50310">
            <w:pPr>
              <w:ind w:left="113" w:right="113"/>
            </w:pPr>
            <w:r>
              <w:t>12</w:t>
            </w:r>
          </w:p>
        </w:tc>
        <w:tc>
          <w:tcPr>
            <w:tcW w:w="709" w:type="dxa"/>
            <w:noWrap/>
            <w:textDirection w:val="tbRl"/>
          </w:tcPr>
          <w:p w:rsidR="001B4E8E" w:rsidRPr="00E50310" w:rsidRDefault="001B4E8E" w:rsidP="00E50310">
            <w:pPr>
              <w:ind w:left="113" w:right="113"/>
            </w:pPr>
            <w:r>
              <w:t>1</w:t>
            </w:r>
          </w:p>
        </w:tc>
        <w:tc>
          <w:tcPr>
            <w:tcW w:w="567" w:type="dxa"/>
            <w:noWrap/>
            <w:textDirection w:val="tbRl"/>
          </w:tcPr>
          <w:p w:rsidR="001B4E8E" w:rsidRPr="00E50310" w:rsidRDefault="001B4E8E" w:rsidP="00E50310">
            <w:pPr>
              <w:ind w:left="113" w:right="113"/>
            </w:pPr>
            <w:r>
              <w:t>7</w:t>
            </w:r>
          </w:p>
        </w:tc>
        <w:tc>
          <w:tcPr>
            <w:tcW w:w="1559" w:type="dxa"/>
            <w:noWrap/>
            <w:textDirection w:val="tbRl"/>
          </w:tcPr>
          <w:p w:rsidR="001B4E8E" w:rsidRPr="00E50310" w:rsidRDefault="001B4E8E" w:rsidP="00E50310">
            <w:pPr>
              <w:ind w:left="113" w:right="113"/>
            </w:pPr>
            <w:r>
              <w:t>15</w:t>
            </w:r>
          </w:p>
        </w:tc>
        <w:tc>
          <w:tcPr>
            <w:tcW w:w="709" w:type="dxa"/>
            <w:noWrap/>
            <w:textDirection w:val="tbRl"/>
          </w:tcPr>
          <w:p w:rsidR="001B4E8E" w:rsidRPr="00E50310" w:rsidRDefault="001B4E8E" w:rsidP="00E50310">
            <w:pPr>
              <w:ind w:left="113" w:right="113"/>
            </w:pPr>
            <w:r>
              <w:t>2</w:t>
            </w:r>
          </w:p>
        </w:tc>
        <w:tc>
          <w:tcPr>
            <w:tcW w:w="992" w:type="dxa"/>
            <w:noWrap/>
            <w:textDirection w:val="tbRl"/>
          </w:tcPr>
          <w:p w:rsidR="001B4E8E" w:rsidRPr="00E50310" w:rsidRDefault="001B4E8E" w:rsidP="00E50310">
            <w:pPr>
              <w:ind w:left="113" w:right="113"/>
            </w:pPr>
            <w:r>
              <w:t>4</w:t>
            </w:r>
          </w:p>
        </w:tc>
        <w:tc>
          <w:tcPr>
            <w:tcW w:w="851" w:type="dxa"/>
            <w:noWrap/>
            <w:textDirection w:val="tbRl"/>
          </w:tcPr>
          <w:p w:rsidR="001B4E8E" w:rsidRPr="00E50310" w:rsidRDefault="001B4E8E" w:rsidP="00E50310">
            <w:pPr>
              <w:ind w:left="113" w:right="113"/>
            </w:pPr>
            <w:r>
              <w:t>0</w:t>
            </w:r>
          </w:p>
        </w:tc>
        <w:tc>
          <w:tcPr>
            <w:tcW w:w="992" w:type="dxa"/>
            <w:textDirection w:val="tbRl"/>
          </w:tcPr>
          <w:p w:rsidR="001B4E8E" w:rsidRDefault="001B4E8E" w:rsidP="00E50310">
            <w:pPr>
              <w:ind w:left="113" w:right="113"/>
            </w:pPr>
            <w:r>
              <w:t>8</w:t>
            </w:r>
          </w:p>
        </w:tc>
        <w:tc>
          <w:tcPr>
            <w:tcW w:w="1276" w:type="dxa"/>
            <w:noWrap/>
            <w:textDirection w:val="tbRl"/>
          </w:tcPr>
          <w:p w:rsidR="001B4E8E" w:rsidRPr="00E50310" w:rsidRDefault="001B4E8E" w:rsidP="00E50310">
            <w:pPr>
              <w:ind w:left="113" w:right="113"/>
            </w:pPr>
            <w:r>
              <w:t>4</w:t>
            </w:r>
          </w:p>
        </w:tc>
        <w:tc>
          <w:tcPr>
            <w:tcW w:w="992" w:type="dxa"/>
            <w:noWrap/>
            <w:textDirection w:val="tbRl"/>
          </w:tcPr>
          <w:p w:rsidR="001B4E8E" w:rsidRPr="00E50310" w:rsidRDefault="001B4E8E" w:rsidP="00E50310">
            <w:pPr>
              <w:ind w:left="113" w:right="113"/>
            </w:pPr>
            <w:r>
              <w:t>2</w:t>
            </w:r>
          </w:p>
        </w:tc>
        <w:tc>
          <w:tcPr>
            <w:tcW w:w="850" w:type="dxa"/>
            <w:noWrap/>
            <w:textDirection w:val="tbRl"/>
          </w:tcPr>
          <w:p w:rsidR="001B4E8E" w:rsidRPr="00E50310" w:rsidRDefault="001B4E8E" w:rsidP="00E50310">
            <w:pPr>
              <w:ind w:left="113" w:right="113"/>
            </w:pPr>
            <w:r>
              <w:t>2</w:t>
            </w:r>
          </w:p>
        </w:tc>
        <w:tc>
          <w:tcPr>
            <w:tcW w:w="567" w:type="dxa"/>
            <w:textDirection w:val="tbRl"/>
          </w:tcPr>
          <w:p w:rsidR="001B4E8E" w:rsidRPr="00E50310" w:rsidRDefault="001B4E8E" w:rsidP="00E50310">
            <w:pPr>
              <w:ind w:left="113" w:right="113"/>
            </w:pPr>
            <w:r>
              <w:t>3</w:t>
            </w:r>
          </w:p>
        </w:tc>
        <w:tc>
          <w:tcPr>
            <w:tcW w:w="567" w:type="dxa"/>
            <w:noWrap/>
            <w:textDirection w:val="tbRl"/>
          </w:tcPr>
          <w:p w:rsidR="001B4E8E" w:rsidRPr="00E50310" w:rsidRDefault="001B4E8E" w:rsidP="00E50310">
            <w:pPr>
              <w:ind w:left="113" w:right="113"/>
            </w:pPr>
            <w:r>
              <w:t>7</w:t>
            </w:r>
          </w:p>
        </w:tc>
        <w:tc>
          <w:tcPr>
            <w:tcW w:w="709" w:type="dxa"/>
            <w:textDirection w:val="tbRl"/>
          </w:tcPr>
          <w:p w:rsidR="001B4E8E" w:rsidRDefault="001B4E8E" w:rsidP="00E50310">
            <w:pPr>
              <w:ind w:left="113" w:right="113"/>
            </w:pPr>
            <w:r>
              <w:t>2</w:t>
            </w:r>
          </w:p>
        </w:tc>
      </w:tr>
      <w:tr w:rsidR="001B4E8E" w:rsidRPr="00E50310" w:rsidTr="001B4E8E">
        <w:trPr>
          <w:cantSplit/>
          <w:trHeight w:val="1579"/>
        </w:trPr>
        <w:tc>
          <w:tcPr>
            <w:tcW w:w="1128" w:type="dxa"/>
            <w:shd w:val="clear" w:color="auto" w:fill="BFBFBF" w:themeFill="background1" w:themeFillShade="BF"/>
            <w:noWrap/>
            <w:textDirection w:val="tbRl"/>
            <w:hideMark/>
          </w:tcPr>
          <w:p w:rsidR="001B4E8E" w:rsidRPr="00E50310" w:rsidRDefault="001B4E8E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 xml:space="preserve">Resultado </w:t>
            </w:r>
          </w:p>
        </w:tc>
        <w:tc>
          <w:tcPr>
            <w:tcW w:w="641" w:type="dxa"/>
            <w:noWrap/>
            <w:textDirection w:val="tbRl"/>
            <w:hideMark/>
          </w:tcPr>
          <w:p w:rsidR="001B4E8E" w:rsidRPr="00E50310" w:rsidRDefault="001B4E8E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067" w:type="dxa"/>
            <w:noWrap/>
            <w:textDirection w:val="tbRl"/>
            <w:hideMark/>
          </w:tcPr>
          <w:p w:rsidR="001B4E8E" w:rsidRPr="00E50310" w:rsidRDefault="001B4E8E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709" w:type="dxa"/>
            <w:noWrap/>
            <w:textDirection w:val="tbRl"/>
            <w:hideMark/>
          </w:tcPr>
          <w:p w:rsidR="001B4E8E" w:rsidRPr="00E50310" w:rsidRDefault="001B4E8E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567" w:type="dxa"/>
            <w:noWrap/>
            <w:textDirection w:val="tbRl"/>
            <w:hideMark/>
          </w:tcPr>
          <w:p w:rsidR="001B4E8E" w:rsidRPr="00E50310" w:rsidRDefault="001B4E8E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559" w:type="dxa"/>
            <w:noWrap/>
            <w:textDirection w:val="tbRl"/>
            <w:hideMark/>
          </w:tcPr>
          <w:p w:rsidR="001B4E8E" w:rsidRPr="00E50310" w:rsidRDefault="001B4E8E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709" w:type="dxa"/>
            <w:noWrap/>
            <w:textDirection w:val="tbRl"/>
            <w:hideMark/>
          </w:tcPr>
          <w:p w:rsidR="001B4E8E" w:rsidRPr="00E50310" w:rsidRDefault="001B4E8E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92" w:type="dxa"/>
            <w:noWrap/>
            <w:textDirection w:val="tbRl"/>
            <w:hideMark/>
          </w:tcPr>
          <w:p w:rsidR="001B4E8E" w:rsidRPr="00E50310" w:rsidRDefault="001B4E8E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51" w:type="dxa"/>
            <w:noWrap/>
            <w:textDirection w:val="tbRl"/>
            <w:hideMark/>
          </w:tcPr>
          <w:p w:rsidR="001B4E8E" w:rsidRPr="00E50310" w:rsidRDefault="001B4E8E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92" w:type="dxa"/>
            <w:textDirection w:val="tbRl"/>
          </w:tcPr>
          <w:p w:rsidR="001B4E8E" w:rsidRPr="00E50310" w:rsidRDefault="001B4E8E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276" w:type="dxa"/>
            <w:noWrap/>
            <w:textDirection w:val="tbRl"/>
            <w:hideMark/>
          </w:tcPr>
          <w:p w:rsidR="001B4E8E" w:rsidRPr="00E50310" w:rsidRDefault="001B4E8E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92" w:type="dxa"/>
            <w:noWrap/>
            <w:textDirection w:val="tbRl"/>
            <w:hideMark/>
          </w:tcPr>
          <w:p w:rsidR="001B4E8E" w:rsidRPr="00E50310" w:rsidRDefault="001B4E8E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50" w:type="dxa"/>
            <w:noWrap/>
            <w:textDirection w:val="tbRl"/>
            <w:hideMark/>
          </w:tcPr>
          <w:p w:rsidR="001B4E8E" w:rsidRPr="00E50310" w:rsidRDefault="001B4E8E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567" w:type="dxa"/>
            <w:textDirection w:val="tbRl"/>
          </w:tcPr>
          <w:p w:rsidR="001B4E8E" w:rsidRPr="00E50310" w:rsidRDefault="001B4E8E" w:rsidP="00E50310">
            <w:pPr>
              <w:ind w:left="113" w:right="113"/>
              <w:rPr>
                <w:sz w:val="16"/>
              </w:rPr>
            </w:pPr>
          </w:p>
        </w:tc>
        <w:tc>
          <w:tcPr>
            <w:tcW w:w="567" w:type="dxa"/>
            <w:noWrap/>
            <w:textDirection w:val="tbRl"/>
            <w:hideMark/>
          </w:tcPr>
          <w:p w:rsidR="001B4E8E" w:rsidRPr="00E50310" w:rsidRDefault="001B4E8E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709" w:type="dxa"/>
            <w:textDirection w:val="tbRl"/>
          </w:tcPr>
          <w:p w:rsidR="001B4E8E" w:rsidRPr="00E50310" w:rsidRDefault="001B4E8E" w:rsidP="00E50310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</w:tr>
    </w:tbl>
    <w:p w:rsidR="00E50310" w:rsidRDefault="00E50310"/>
    <w:p w:rsidR="00E50310" w:rsidRDefault="00E50310">
      <w:r>
        <w:br w:type="page"/>
      </w:r>
    </w:p>
    <w:p w:rsidR="00D82C12" w:rsidRDefault="002A6A31">
      <w:r>
        <w:rPr>
          <w:noProof/>
          <w:lang w:val="en-US"/>
        </w:rPr>
        <w:lastRenderedPageBreak/>
        <w:drawing>
          <wp:inline distT="0" distB="0" distL="0" distR="0" wp14:anchorId="4D8B42A6" wp14:editId="7B86EE09">
            <wp:extent cx="8258810" cy="5474970"/>
            <wp:effectExtent l="0" t="0" r="8890" b="1143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D82C12" w:rsidSect="00E50310">
      <w:foot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26B" w:rsidRDefault="0011126B" w:rsidP="00E50310">
      <w:pPr>
        <w:spacing w:after="0" w:line="240" w:lineRule="auto"/>
      </w:pPr>
      <w:r>
        <w:separator/>
      </w:r>
    </w:p>
  </w:endnote>
  <w:endnote w:type="continuationSeparator" w:id="0">
    <w:p w:rsidR="0011126B" w:rsidRDefault="0011126B" w:rsidP="00E50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310" w:rsidRDefault="00E50310">
    <w:pPr>
      <w:pStyle w:val="Piedepgina"/>
    </w:pPr>
  </w:p>
  <w:p w:rsidR="00E50310" w:rsidRDefault="00E503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26B" w:rsidRDefault="0011126B" w:rsidP="00E50310">
      <w:pPr>
        <w:spacing w:after="0" w:line="240" w:lineRule="auto"/>
      </w:pPr>
      <w:r>
        <w:separator/>
      </w:r>
    </w:p>
  </w:footnote>
  <w:footnote w:type="continuationSeparator" w:id="0">
    <w:p w:rsidR="0011126B" w:rsidRDefault="0011126B" w:rsidP="00E503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310"/>
    <w:rsid w:val="0004449D"/>
    <w:rsid w:val="001072C6"/>
    <w:rsid w:val="0011126B"/>
    <w:rsid w:val="001B4E8E"/>
    <w:rsid w:val="002A02DB"/>
    <w:rsid w:val="002A6A31"/>
    <w:rsid w:val="00534C2A"/>
    <w:rsid w:val="005F3FBB"/>
    <w:rsid w:val="0065099E"/>
    <w:rsid w:val="00954772"/>
    <w:rsid w:val="00A6201F"/>
    <w:rsid w:val="00B2415C"/>
    <w:rsid w:val="00B32175"/>
    <w:rsid w:val="00D82C12"/>
    <w:rsid w:val="00E50310"/>
    <w:rsid w:val="00E97EF2"/>
    <w:rsid w:val="00F2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50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031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0310"/>
  </w:style>
  <w:style w:type="paragraph" w:styleId="Piedepgina">
    <w:name w:val="footer"/>
    <w:basedOn w:val="Normal"/>
    <w:link w:val="Piedepgina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0310"/>
  </w:style>
  <w:style w:type="table" w:styleId="Tablaconcuadrcula">
    <w:name w:val="Table Grid"/>
    <w:basedOn w:val="Tablanormal"/>
    <w:uiPriority w:val="59"/>
    <w:rsid w:val="00E50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50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031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0310"/>
  </w:style>
  <w:style w:type="paragraph" w:styleId="Piedepgina">
    <w:name w:val="footer"/>
    <w:basedOn w:val="Normal"/>
    <w:link w:val="Piedepgina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0310"/>
  </w:style>
  <w:style w:type="table" w:styleId="Tablaconcuadrcula">
    <w:name w:val="Table Grid"/>
    <w:basedOn w:val="Tablanormal"/>
    <w:uiPriority w:val="59"/>
    <w:rsid w:val="00E50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8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Style" Target="style1.xml"/><Relationship Id="rId2" Type="http://schemas.microsoft.com/office/2011/relationships/chartColorStyle" Target="colors1.xml"/><Relationship Id="rId1" Type="http://schemas.openxmlformats.org/officeDocument/2006/relationships/oleObject" Target="Libro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4914321624187718"/>
          <c:y val="9.0156204812370674E-2"/>
          <c:w val="0.8296819808338477"/>
          <c:h val="0.36646663768916476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Hoja1!$A$2</c:f>
              <c:strCache>
                <c:ptCount val="1"/>
                <c:pt idx="0">
                  <c:v>Numero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Hoja1!$B$1:$P$1</c:f>
              <c:strCache>
                <c:ptCount val="15"/>
                <c:pt idx="0">
                  <c:v>Mantenimiento Red de voz </c:v>
                </c:pt>
                <c:pt idx="1">
                  <c:v>Mantenimiento Red de datos y mejoras de la red</c:v>
                </c:pt>
                <c:pt idx="2">
                  <c:v>Red de impresión</c:v>
                </c:pt>
                <c:pt idx="3">
                  <c:v>Asesorías</c:v>
                </c:pt>
                <c:pt idx="4">
                  <c:v>Fallas y soluciones en sistema operativo y software.   Instalación de equipo y programas</c:v>
                </c:pt>
                <c:pt idx="5">
                  <c:v>Gestión de material</c:v>
                </c:pt>
                <c:pt idx="6">
                  <c:v>Entrega de consumibles</c:v>
                </c:pt>
                <c:pt idx="7">
                  <c:v>Dictaminacion de equipo de computo</c:v>
                </c:pt>
                <c:pt idx="8">
                  <c:v>Mejoras en servicios de correos, telefónicos e ISP.</c:v>
                </c:pt>
                <c:pt idx="9">
                  <c:v>Reparación de hardware de impresión y computo</c:v>
                </c:pt>
                <c:pt idx="10">
                  <c:v>Restricciones y seguridad</c:v>
                </c:pt>
                <c:pt idx="11">
                  <c:v>Realización de oficios</c:v>
                </c:pt>
                <c:pt idx="12">
                  <c:v>Respaldos</c:v>
                </c:pt>
                <c:pt idx="13">
                  <c:v>otros</c:v>
                </c:pt>
                <c:pt idx="14">
                  <c:v>En relación a Pagina web</c:v>
                </c:pt>
              </c:strCache>
            </c:strRef>
          </c:cat>
          <c:val>
            <c:numRef>
              <c:f>Hoja1!$B$2:$P$2</c:f>
              <c:numCache>
                <c:formatCode>General</c:formatCode>
                <c:ptCount val="15"/>
                <c:pt idx="0">
                  <c:v>4</c:v>
                </c:pt>
                <c:pt idx="1">
                  <c:v>12</c:v>
                </c:pt>
                <c:pt idx="2">
                  <c:v>1</c:v>
                </c:pt>
                <c:pt idx="3">
                  <c:v>7</c:v>
                </c:pt>
                <c:pt idx="4">
                  <c:v>15</c:v>
                </c:pt>
                <c:pt idx="5">
                  <c:v>2</c:v>
                </c:pt>
                <c:pt idx="6">
                  <c:v>4</c:v>
                </c:pt>
                <c:pt idx="7">
                  <c:v>0</c:v>
                </c:pt>
                <c:pt idx="8">
                  <c:v>8</c:v>
                </c:pt>
                <c:pt idx="9">
                  <c:v>4</c:v>
                </c:pt>
                <c:pt idx="10">
                  <c:v>2</c:v>
                </c:pt>
                <c:pt idx="11">
                  <c:v>2</c:v>
                </c:pt>
                <c:pt idx="12">
                  <c:v>3</c:v>
                </c:pt>
                <c:pt idx="13">
                  <c:v>7</c:v>
                </c:pt>
                <c:pt idx="14">
                  <c:v>2</c:v>
                </c:pt>
              </c:numCache>
            </c:numRef>
          </c:val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100"/>
        <c:axId val="52425856"/>
        <c:axId val="52957184"/>
      </c:barChart>
      <c:catAx>
        <c:axId val="524258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2957184"/>
        <c:crosses val="autoZero"/>
        <c:auto val="1"/>
        <c:lblAlgn val="ctr"/>
        <c:lblOffset val="100"/>
        <c:noMultiLvlLbl val="0"/>
      </c:catAx>
      <c:valAx>
        <c:axId val="529571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24258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hp</cp:lastModifiedBy>
  <cp:revision>2</cp:revision>
  <cp:lastPrinted>2019-03-08T17:37:00Z</cp:lastPrinted>
  <dcterms:created xsi:type="dcterms:W3CDTF">2019-03-08T18:53:00Z</dcterms:created>
  <dcterms:modified xsi:type="dcterms:W3CDTF">2019-03-08T18:53:00Z</dcterms:modified>
</cp:coreProperties>
</file>